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84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94" w:type="dxa"/>
          </w:tcPr>
          <w:p>
            <w:pPr>
              <w:spacing w:after="0" w:line="240" w:lineRule="auto"/>
              <w:rPr>
                <w:rFonts w:ascii="Berlin Sans FB Demi" w:hAnsi="Berlin Sans FB Demi"/>
                <w:color w:val="17375E" w:themeColor="text2" w:themeShade="BF"/>
              </w:rPr>
            </w:pPr>
            <w:bookmarkStart w:id="0" w:name="_GoBack"/>
            <w:bookmarkEnd w:id="0"/>
          </w:p>
          <w:p>
            <w:pPr>
              <w:spacing w:after="0" w:line="240" w:lineRule="auto"/>
              <w:rPr>
                <w:color w:val="17375E" w:themeColor="text2" w:themeShade="BF"/>
              </w:rPr>
            </w:pPr>
            <w:r>
              <w:rPr>
                <w:color w:val="17375E" w:themeColor="text2" w:themeShade="BF"/>
                <w:lang w:eastAsia="pt-PT"/>
              </w:rPr>
              <w:drawing>
                <wp:inline distT="0" distB="0" distL="0" distR="0">
                  <wp:extent cx="1285875" cy="1176655"/>
                  <wp:effectExtent l="19050" t="0" r="9525" b="0"/>
                  <wp:docPr id="1" name="Imagem 1" descr="https://www.lucistrust.org/css/images/triangles-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https://www.lucistrust.org/css/images/triangles-logo.png"/>
                          <pic:cNvPicPr>
                            <a:picLocks noChangeAspect="1" noChangeArrowheads="1"/>
                          </pic:cNvPicPr>
                        </pic:nvPicPr>
                        <pic:blipFill>
                          <a:blip r:embed="rId4" cstate="print"/>
                          <a:srcRect/>
                          <a:stretch>
                            <a:fillRect/>
                          </a:stretch>
                        </pic:blipFill>
                        <pic:spPr>
                          <a:xfrm>
                            <a:off x="0" y="0"/>
                            <a:ext cx="1285875" cy="1176770"/>
                          </a:xfrm>
                          <a:prstGeom prst="rect">
                            <a:avLst/>
                          </a:prstGeom>
                          <a:noFill/>
                          <a:ln w="9525">
                            <a:noFill/>
                            <a:miter lim="800000"/>
                            <a:headEnd/>
                            <a:tailEnd/>
                          </a:ln>
                        </pic:spPr>
                      </pic:pic>
                    </a:graphicData>
                  </a:graphic>
                </wp:inline>
              </w:drawing>
            </w:r>
            <w:r>
              <w:rPr>
                <w:color w:val="17375E" w:themeColor="text2" w:themeShade="BF"/>
              </w:rPr>
              <w:t xml:space="preserve">     </w:t>
            </w:r>
          </w:p>
          <w:p>
            <w:pPr>
              <w:spacing w:after="0" w:line="240" w:lineRule="auto"/>
              <w:rPr>
                <w:color w:val="17375E" w:themeColor="text2" w:themeShade="BF"/>
              </w:rPr>
            </w:pPr>
            <w:r>
              <w:rPr>
                <w:color w:val="17375E" w:themeColor="text2" w:themeShade="BF"/>
              </w:rPr>
              <w:t xml:space="preserve">                                                                                                                          </w:t>
            </w:r>
            <w:r>
              <w:rPr>
                <w:b/>
                <w:color w:val="17375E" w:themeColor="text2" w:themeShade="BF"/>
                <w:sz w:val="36"/>
                <w:szCs w:val="36"/>
              </w:rPr>
              <w:t>Triângulos</w:t>
            </w:r>
          </w:p>
          <w:p>
            <w:pPr>
              <w:spacing w:after="0" w:line="240" w:lineRule="auto"/>
              <w:rPr>
                <w:b/>
                <w:color w:val="17375E" w:themeColor="text2" w:themeShade="BF"/>
                <w:sz w:val="36"/>
                <w:szCs w:val="36"/>
              </w:rPr>
            </w:pPr>
            <w:r>
              <w:rPr>
                <w:b/>
                <w:color w:val="17375E" w:themeColor="text2" w:themeShade="BF"/>
                <w:sz w:val="36"/>
                <w:szCs w:val="36"/>
              </w:rPr>
              <w:t xml:space="preserve">                                                                           Março 2023</w:t>
            </w:r>
          </w:p>
          <w:p>
            <w:pPr>
              <w:spacing w:after="0" w:line="240" w:lineRule="auto"/>
              <w:rPr>
                <w:color w:val="17375E" w:themeColor="text2" w:themeShade="BF"/>
              </w:rPr>
            </w:pPr>
            <w:r>
              <w:rPr>
                <w:b/>
                <w:color w:val="17375E" w:themeColor="text2" w:themeShade="BF"/>
                <w:sz w:val="36"/>
                <w:szCs w:val="36"/>
              </w:rPr>
              <w:t xml:space="preserve">                                                                           Nº. 223</w:t>
            </w:r>
          </w:p>
          <w:p>
            <w:pPr>
              <w:spacing w:after="0" w:line="240" w:lineRule="auto"/>
              <w:rPr>
                <w:color w:val="17375E" w:themeColor="text2" w:themeShade="BF"/>
              </w:rPr>
            </w:pPr>
          </w:p>
        </w:tc>
      </w:tr>
    </w:tbl>
    <w:p>
      <w:pPr>
        <w:rPr>
          <w:color w:val="17375E" w:themeColor="text2" w:themeShade="BF"/>
        </w:rPr>
      </w:pPr>
    </w:p>
    <w:p>
      <w:pPr>
        <w:rPr>
          <w:rFonts w:ascii="Comic Sans MS" w:hAnsi="Comic Sans MS"/>
          <w:b/>
          <w:color w:val="17375E" w:themeColor="text2" w:themeShade="BF"/>
          <w:sz w:val="24"/>
          <w:szCs w:val="24"/>
        </w:rPr>
      </w:pPr>
      <w:r>
        <w:rPr>
          <w:rFonts w:ascii="Comic Sans MS" w:hAnsi="Comic Sans MS"/>
          <w:b/>
          <w:color w:val="17375E" w:themeColor="text2" w:themeShade="BF"/>
          <w:sz w:val="24"/>
          <w:szCs w:val="24"/>
        </w:rPr>
        <w:t>Na adversidade, Força</w:t>
      </w:r>
    </w:p>
    <w:p>
      <w:pPr>
        <w:jc w:val="both"/>
        <w:rPr>
          <w:rFonts w:ascii="Comic Sans MS" w:hAnsi="Comic Sans MS"/>
          <w:color w:val="17375E" w:themeColor="text2" w:themeShade="BF"/>
          <w:sz w:val="24"/>
          <w:szCs w:val="24"/>
        </w:rPr>
      </w:pPr>
      <w:r>
        <w:rPr>
          <w:rFonts w:ascii="Comic Sans MS" w:hAnsi="Comic Sans MS"/>
          <w:color w:val="17375E" w:themeColor="text2" w:themeShade="BF"/>
          <w:sz w:val="24"/>
          <w:szCs w:val="24"/>
        </w:rPr>
        <w:t xml:space="preserve">Qual é a força misteriosa que impulsiona o ser humano a superar obstáculos aparentemente avassaladores? </w:t>
      </w:r>
    </w:p>
    <w:p>
      <w:pPr>
        <w:jc w:val="both"/>
        <w:rPr>
          <w:rFonts w:ascii="Comic Sans MS" w:hAnsi="Comic Sans MS"/>
          <w:color w:val="17375E" w:themeColor="text2" w:themeShade="BF"/>
          <w:sz w:val="24"/>
          <w:szCs w:val="24"/>
        </w:rPr>
      </w:pPr>
      <w:r>
        <w:rPr>
          <w:rFonts w:ascii="Comic Sans MS" w:hAnsi="Comic Sans MS"/>
          <w:color w:val="17375E" w:themeColor="text2" w:themeShade="BF"/>
          <w:sz w:val="24"/>
          <w:szCs w:val="24"/>
        </w:rPr>
        <w:t>Para entender a natureza verdadeira desta força interior de propósito, devemo-nos voltar para os ensinamentos espirituais que brilham como um farol de luz através dos tempos…</w:t>
      </w:r>
    </w:p>
    <w:p>
      <w:pPr>
        <w:jc w:val="both"/>
        <w:rPr>
          <w:rFonts w:ascii="Comic Sans MS" w:hAnsi="Comic Sans MS"/>
          <w:color w:val="17375E" w:themeColor="text2" w:themeShade="BF"/>
          <w:sz w:val="24"/>
          <w:szCs w:val="24"/>
        </w:rPr>
      </w:pPr>
      <w:r>
        <w:rPr>
          <w:rFonts w:ascii="Comic Sans MS" w:hAnsi="Comic Sans MS"/>
          <w:color w:val="17375E" w:themeColor="text2" w:themeShade="BF"/>
          <w:sz w:val="24"/>
          <w:szCs w:val="24"/>
        </w:rPr>
        <w:t>(saiba mais p. 4, 5)</w:t>
      </w:r>
    </w:p>
    <w:p>
      <w:pPr>
        <w:jc w:val="both"/>
        <w:rPr>
          <w:rFonts w:ascii="Comic Sans MS" w:hAnsi="Comic Sans MS"/>
          <w:b/>
          <w:color w:val="17375E" w:themeColor="text2" w:themeShade="BF"/>
          <w:sz w:val="24"/>
          <w:szCs w:val="24"/>
        </w:rPr>
      </w:pPr>
      <w:r>
        <w:rPr>
          <w:rFonts w:ascii="Comic Sans MS" w:hAnsi="Comic Sans MS"/>
          <w:b/>
          <w:color w:val="17375E" w:themeColor="text2" w:themeShade="BF"/>
          <w:sz w:val="24"/>
          <w:szCs w:val="24"/>
        </w:rPr>
        <w:t>No Alinhamento, Inspiração</w:t>
      </w:r>
    </w:p>
    <w:p>
      <w:pPr>
        <w:jc w:val="both"/>
        <w:rPr>
          <w:rFonts w:ascii="Comic Sans MS" w:hAnsi="Comic Sans MS"/>
          <w:color w:val="17375E" w:themeColor="text2" w:themeShade="BF"/>
          <w:sz w:val="24"/>
          <w:szCs w:val="24"/>
        </w:rPr>
      </w:pPr>
      <w:r>
        <w:rPr>
          <w:rFonts w:ascii="Comic Sans MS" w:hAnsi="Comic Sans MS"/>
          <w:color w:val="17375E" w:themeColor="text2" w:themeShade="BF"/>
          <w:sz w:val="24"/>
          <w:szCs w:val="24"/>
        </w:rPr>
        <w:t>Uma expressão de silêncio interior profundo é a capacidade de ouvir com uma recetividade alinhada e resoluta focada no que está a ser transmitido…</w:t>
      </w:r>
    </w:p>
    <w:p>
      <w:pPr>
        <w:jc w:val="both"/>
        <w:rPr>
          <w:rFonts w:ascii="Comic Sans MS" w:hAnsi="Comic Sans MS"/>
          <w:color w:val="17375E" w:themeColor="text2" w:themeShade="BF"/>
          <w:sz w:val="24"/>
          <w:szCs w:val="24"/>
        </w:rPr>
      </w:pPr>
      <w:r>
        <w:rPr>
          <w:rFonts w:ascii="Comic Sans MS" w:hAnsi="Comic Sans MS"/>
          <w:color w:val="17375E" w:themeColor="text2" w:themeShade="BF"/>
          <w:sz w:val="24"/>
          <w:szCs w:val="24"/>
        </w:rPr>
        <w:t xml:space="preserve">Quando tal calma interior é alcançada, mesmo que fugazmente, uma quietude profunda pode revelar-se… </w:t>
      </w:r>
    </w:p>
    <w:p>
      <w:pPr>
        <w:jc w:val="both"/>
        <w:rPr>
          <w:rFonts w:ascii="Comic Sans MS" w:hAnsi="Comic Sans MS"/>
          <w:color w:val="17375E" w:themeColor="text2" w:themeShade="BF"/>
          <w:sz w:val="24"/>
          <w:szCs w:val="24"/>
        </w:rPr>
      </w:pPr>
      <w:r>
        <w:rPr>
          <w:rFonts w:ascii="Comic Sans MS" w:hAnsi="Comic Sans MS"/>
          <w:color w:val="17375E" w:themeColor="text2" w:themeShade="BF"/>
          <w:sz w:val="24"/>
          <w:szCs w:val="24"/>
        </w:rPr>
        <w:t>(saiba mais, p. 6, 7)</w:t>
      </w:r>
    </w:p>
    <w:p>
      <w:pPr>
        <w:jc w:val="both"/>
        <w:rPr>
          <w:rFonts w:ascii="Comic Sans MS" w:hAnsi="Comic Sans MS"/>
          <w:color w:val="17375E" w:themeColor="text2" w:themeShade="BF"/>
          <w:sz w:val="24"/>
          <w:szCs w:val="24"/>
        </w:rPr>
      </w:pPr>
    </w:p>
    <w:p>
      <w:pPr>
        <w:jc w:val="both"/>
        <w:rPr>
          <w:rFonts w:ascii="Comic Sans MS" w:hAnsi="Comic Sans MS"/>
          <w:color w:val="17375E" w:themeColor="text2" w:themeShade="BF"/>
          <w:sz w:val="24"/>
          <w:szCs w:val="24"/>
        </w:rPr>
      </w:pPr>
    </w:p>
    <w:p>
      <w:pPr>
        <w:jc w:val="both"/>
        <w:rPr>
          <w:rFonts w:ascii="Comic Sans MS" w:hAnsi="Comic Sans MS"/>
          <w:color w:val="17375E" w:themeColor="text2" w:themeShade="BF"/>
          <w:sz w:val="24"/>
          <w:szCs w:val="24"/>
        </w:rPr>
      </w:pPr>
    </w:p>
    <w:tbl>
      <w:tblPr>
        <w:tblStyle w:val="5"/>
        <w:tblW w:w="6521" w:type="dxa"/>
        <w:tblInd w:w="12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521" w:type="dxa"/>
          </w:tcPr>
          <w:p>
            <w:pPr>
              <w:spacing w:after="0" w:line="240" w:lineRule="auto"/>
              <w:jc w:val="both"/>
              <w:rPr>
                <w:rFonts w:ascii="Comic Sans MS" w:hAnsi="Comic Sans MS"/>
                <w:color w:val="17375E" w:themeColor="text2" w:themeShade="BF"/>
                <w:sz w:val="24"/>
                <w:szCs w:val="24"/>
              </w:rPr>
            </w:pPr>
            <w:r>
              <w:rPr>
                <w:rFonts w:ascii="Comic Sans MS" w:hAnsi="Comic Sans MS"/>
                <w:color w:val="17375E" w:themeColor="text2" w:themeShade="BF"/>
                <w:sz w:val="24"/>
                <w:szCs w:val="24"/>
              </w:rPr>
              <w:t>Webinar de Triângulos: segundas às 20 horas de Lisboa</w:t>
            </w:r>
          </w:p>
        </w:tc>
      </w:tr>
    </w:tbl>
    <w:p>
      <w:pPr>
        <w:jc w:val="both"/>
        <w:rPr>
          <w:rFonts w:ascii="Comic Sans MS" w:hAnsi="Comic Sans MS"/>
          <w:color w:val="17375E" w:themeColor="text2" w:themeShade="BF"/>
          <w:sz w:val="24"/>
          <w:szCs w:val="24"/>
        </w:rPr>
      </w:pPr>
    </w:p>
    <w:p>
      <w:pPr>
        <w:jc w:val="both"/>
        <w:rPr>
          <w:rFonts w:ascii="Comic Sans MS" w:hAnsi="Comic Sans MS"/>
          <w:color w:val="17375E" w:themeColor="text2" w:themeShade="BF"/>
          <w:sz w:val="24"/>
          <w:szCs w:val="24"/>
        </w:rPr>
      </w:pPr>
    </w:p>
    <w:p>
      <w:pPr>
        <w:jc w:val="both"/>
        <w:rPr>
          <w:rFonts w:ascii="Comic Sans MS" w:hAnsi="Comic Sans MS"/>
          <w:b/>
          <w:color w:val="17375E" w:themeColor="text2" w:themeShade="BF"/>
          <w:sz w:val="24"/>
          <w:szCs w:val="24"/>
        </w:rPr>
      </w:pPr>
      <w:r>
        <w:rPr>
          <w:rFonts w:ascii="Comic Sans MS" w:hAnsi="Comic Sans MS"/>
          <w:b/>
          <w:color w:val="17375E" w:themeColor="text2" w:themeShade="BF"/>
          <w:sz w:val="24"/>
          <w:szCs w:val="24"/>
        </w:rPr>
        <w:t>A Rede Planetária</w:t>
      </w:r>
    </w:p>
    <w:p>
      <w:pPr>
        <w:jc w:val="both"/>
        <w:rPr>
          <w:rFonts w:ascii="Comic Sans MS" w:hAnsi="Comic Sans MS"/>
          <w:b/>
          <w:color w:val="17375E" w:themeColor="text2" w:themeShade="BF"/>
          <w:sz w:val="24"/>
          <w:szCs w:val="24"/>
        </w:rPr>
      </w:pPr>
      <w:r>
        <w:rPr>
          <w:rFonts w:ascii="Comic Sans MS" w:hAnsi="Comic Sans MS"/>
          <w:b/>
          <w:color w:val="17375E" w:themeColor="text2" w:themeShade="BF"/>
          <w:sz w:val="24"/>
          <w:szCs w:val="24"/>
        </w:rPr>
        <w:t>ServiceSpace</w:t>
      </w:r>
    </w:p>
    <w:p>
      <w:pPr>
        <w:jc w:val="both"/>
        <w:rPr>
          <w:rFonts w:ascii="Comic Sans MS" w:hAnsi="Comic Sans MS"/>
          <w:color w:val="17375E" w:themeColor="text2" w:themeShade="BF"/>
          <w:sz w:val="24"/>
          <w:szCs w:val="24"/>
        </w:rPr>
      </w:pPr>
      <w:r>
        <w:rPr>
          <w:rFonts w:ascii="Comic Sans MS" w:hAnsi="Comic Sans MS"/>
          <w:color w:val="17375E" w:themeColor="text2" w:themeShade="BF"/>
          <w:sz w:val="24"/>
          <w:szCs w:val="24"/>
        </w:rPr>
        <w:t>Esta é uma organização gerida inteiramente por voluntários. Encoraja as pessoas em todo o mundo a fazer pequenos atos de serviço com o objetivo de estimular a generosidade fundamental da humanidade e criar tanto a transformação interior como exterior.</w:t>
      </w:r>
    </w:p>
    <w:p>
      <w:pPr>
        <w:jc w:val="both"/>
        <w:rPr>
          <w:rFonts w:ascii="Comic Sans MS" w:hAnsi="Comic Sans MS"/>
          <w:b/>
          <w:color w:val="17375E" w:themeColor="text2" w:themeShade="BF"/>
          <w:sz w:val="24"/>
          <w:szCs w:val="24"/>
        </w:rPr>
      </w:pPr>
      <w:r>
        <w:rPr>
          <w:rFonts w:ascii="Comic Sans MS" w:hAnsi="Comic Sans MS"/>
          <w:b/>
          <w:color w:val="17375E" w:themeColor="text2" w:themeShade="BF"/>
          <w:sz w:val="24"/>
          <w:szCs w:val="24"/>
        </w:rPr>
        <w:t>Grupo Unity of Life Meditation</w:t>
      </w:r>
    </w:p>
    <w:p>
      <w:pPr>
        <w:jc w:val="both"/>
        <w:rPr>
          <w:rFonts w:ascii="Comic Sans MS" w:hAnsi="Comic Sans MS"/>
          <w:color w:val="17375E" w:themeColor="text2" w:themeShade="BF"/>
          <w:sz w:val="24"/>
          <w:szCs w:val="24"/>
        </w:rPr>
      </w:pPr>
      <w:r>
        <w:rPr>
          <w:rFonts w:ascii="Comic Sans MS" w:hAnsi="Comic Sans MS"/>
          <w:color w:val="17375E" w:themeColor="text2" w:themeShade="BF"/>
          <w:sz w:val="24"/>
          <w:szCs w:val="24"/>
        </w:rPr>
        <w:t>Um novo Encontro Esotérico Asiático e Meditação Esotérica da Páscoa (Lua Cheia de Carneiro) está a ser planeado em cooperação com Esoteric Tokyo, Coreia do Sul, Ageless Wisdom Vietnam e Sydney Goodwill Australia. O tema será o uso da Grande Invocação na Promoção da Unidade Espiritual e será concluído com o Festival de Carneiro.</w:t>
      </w:r>
    </w:p>
    <w:p>
      <w:pPr>
        <w:jc w:val="both"/>
        <w:rPr>
          <w:rFonts w:ascii="Comic Sans MS" w:hAnsi="Comic Sans MS"/>
          <w:color w:val="17375E" w:themeColor="text2" w:themeShade="BF"/>
          <w:sz w:val="24"/>
          <w:szCs w:val="24"/>
        </w:rPr>
      </w:pPr>
      <w:r>
        <w:rPr>
          <w:rFonts w:ascii="Comic Sans MS" w:hAnsi="Comic Sans MS"/>
          <w:color w:val="17375E" w:themeColor="text2" w:themeShade="BF"/>
          <w:sz w:val="24"/>
          <w:szCs w:val="24"/>
        </w:rPr>
        <w:t>(saiba mais p. 8, 9)</w:t>
      </w:r>
    </w:p>
    <w:p>
      <w:pPr>
        <w:jc w:val="both"/>
        <w:rPr>
          <w:rFonts w:ascii="Comic Sans MS" w:hAnsi="Comic Sans MS"/>
          <w:b/>
          <w:color w:val="17375E" w:themeColor="text2" w:themeShade="BF"/>
          <w:sz w:val="24"/>
          <w:szCs w:val="24"/>
        </w:rPr>
      </w:pPr>
      <w:r>
        <w:rPr>
          <w:rFonts w:ascii="Comic Sans MS" w:hAnsi="Comic Sans MS"/>
          <w:b/>
          <w:color w:val="17375E" w:themeColor="text2" w:themeShade="BF"/>
          <w:sz w:val="24"/>
          <w:szCs w:val="24"/>
        </w:rPr>
        <w:t>Os Três Festivais Espirituais</w:t>
      </w:r>
    </w:p>
    <w:p>
      <w:pPr>
        <w:jc w:val="both"/>
        <w:rPr>
          <w:rFonts w:ascii="Comic Sans MS" w:hAnsi="Comic Sans MS"/>
          <w:color w:val="17375E" w:themeColor="text2" w:themeShade="BF"/>
          <w:sz w:val="24"/>
          <w:szCs w:val="24"/>
        </w:rPr>
      </w:pPr>
      <w:r>
        <w:rPr>
          <w:rFonts w:ascii="Comic Sans MS" w:hAnsi="Comic Sans MS"/>
          <w:color w:val="17375E" w:themeColor="text2" w:themeShade="BF"/>
          <w:sz w:val="24"/>
          <w:szCs w:val="24"/>
        </w:rPr>
        <w:t>A passagem simbólica do sol pelos signos do zodíaco põe em foco as energias subtis que eles representam, e isso acompanha o andamento do ano espiritual…</w:t>
      </w:r>
    </w:p>
    <w:p>
      <w:pPr>
        <w:jc w:val="both"/>
        <w:rPr>
          <w:rFonts w:ascii="Comic Sans MS" w:hAnsi="Comic Sans MS"/>
          <w:color w:val="17375E" w:themeColor="text2" w:themeShade="BF"/>
          <w:sz w:val="24"/>
          <w:szCs w:val="24"/>
        </w:rPr>
      </w:pPr>
      <w:r>
        <w:rPr>
          <w:rFonts w:ascii="Comic Sans MS" w:hAnsi="Comic Sans MS"/>
          <w:color w:val="17375E" w:themeColor="text2" w:themeShade="BF"/>
          <w:sz w:val="24"/>
          <w:szCs w:val="24"/>
        </w:rPr>
        <w:t xml:space="preserve">Em geral, Carneiro (Páscoa) estimula os processos mentais e relaciona-se com o amor divino; Touro (Wesak) estimula a natureza sensível e está associado com sabedoria; e Gémeos (Boa Vontade) vitaliza a substância etérica e relaciona-se com a unidade espiritual – a divindade dentro da humanidade. Estes festivais focam a vibração divina recebida e oferecem a oportunidade de se comprometer de modo consciente com as novas influências espirituais para facilitar a sua expressão mais plena na vida pessoal e grupal. </w:t>
      </w:r>
    </w:p>
    <w:p>
      <w:pPr>
        <w:jc w:val="both"/>
        <w:rPr>
          <w:rFonts w:ascii="Comic Sans MS" w:hAnsi="Comic Sans MS"/>
          <w:color w:val="17375E" w:themeColor="text2" w:themeShade="BF"/>
          <w:sz w:val="24"/>
          <w:szCs w:val="24"/>
        </w:rPr>
      </w:pPr>
      <w:r>
        <w:rPr>
          <w:rFonts w:ascii="Comic Sans MS" w:hAnsi="Comic Sans MS"/>
          <w:color w:val="17375E" w:themeColor="text2" w:themeShade="BF"/>
          <w:sz w:val="24"/>
          <w:szCs w:val="24"/>
        </w:rPr>
        <w:t>6 de Abril 2023   Festival da Páscoa (Carneiro)</w:t>
      </w:r>
    </w:p>
    <w:p>
      <w:pPr>
        <w:jc w:val="both"/>
        <w:rPr>
          <w:rFonts w:ascii="Comic Sans MS" w:hAnsi="Comic Sans MS"/>
          <w:color w:val="17375E" w:themeColor="text2" w:themeShade="BF"/>
          <w:sz w:val="24"/>
          <w:szCs w:val="24"/>
        </w:rPr>
      </w:pPr>
      <w:r>
        <w:rPr>
          <w:rFonts w:ascii="Comic Sans MS" w:hAnsi="Comic Sans MS"/>
          <w:color w:val="17375E" w:themeColor="text2" w:themeShade="BF"/>
          <w:sz w:val="24"/>
          <w:szCs w:val="24"/>
        </w:rPr>
        <w:t>5 de Maio2023     Festival de Wesak (Touro)</w:t>
      </w:r>
    </w:p>
    <w:p>
      <w:pPr>
        <w:jc w:val="both"/>
        <w:rPr>
          <w:rFonts w:ascii="Comic Sans MS" w:hAnsi="Comic Sans MS"/>
          <w:color w:val="17375E" w:themeColor="text2" w:themeShade="BF"/>
          <w:sz w:val="24"/>
          <w:szCs w:val="24"/>
        </w:rPr>
      </w:pPr>
      <w:r>
        <w:rPr>
          <w:rFonts w:ascii="Comic Sans MS" w:hAnsi="Comic Sans MS"/>
          <w:color w:val="17375E" w:themeColor="text2" w:themeShade="BF"/>
          <w:sz w:val="24"/>
          <w:szCs w:val="24"/>
        </w:rPr>
        <w:t xml:space="preserve">3 de Junho 2023  Festival de Boa Vontade e Dia Mundial da Invocação       </w:t>
      </w:r>
    </w:p>
    <w:p>
      <w:pPr>
        <w:jc w:val="both"/>
        <w:rPr>
          <w:rFonts w:ascii="Comic Sans MS" w:hAnsi="Comic Sans MS"/>
          <w:color w:val="17375E" w:themeColor="text2" w:themeShade="BF"/>
          <w:sz w:val="24"/>
          <w:szCs w:val="24"/>
        </w:rPr>
      </w:pPr>
      <w:r>
        <w:rPr>
          <w:rFonts w:ascii="Comic Sans MS" w:hAnsi="Comic Sans MS"/>
          <w:color w:val="17375E" w:themeColor="text2" w:themeShade="BF"/>
          <w:sz w:val="24"/>
          <w:szCs w:val="24"/>
        </w:rPr>
        <w:t xml:space="preserve">                            (Gémeos)</w:t>
      </w:r>
    </w:p>
    <w:p>
      <w:pPr>
        <w:jc w:val="both"/>
        <w:rPr>
          <w:rFonts w:ascii="Comic Sans MS" w:hAnsi="Comic Sans MS"/>
          <w:color w:val="17375E" w:themeColor="text2" w:themeShade="BF"/>
          <w:sz w:val="24"/>
          <w:szCs w:val="24"/>
        </w:rPr>
      </w:pPr>
    </w:p>
    <w:p>
      <w:pPr>
        <w:jc w:val="both"/>
        <w:rPr>
          <w:rFonts w:ascii="Comic Sans MS" w:hAnsi="Comic Sans MS"/>
          <w:color w:val="17375E" w:themeColor="text2" w:themeShade="BF"/>
          <w:sz w:val="20"/>
          <w:szCs w:val="20"/>
        </w:rPr>
      </w:pPr>
      <w:r>
        <w:rPr>
          <w:rFonts w:ascii="Comic Sans MS" w:hAnsi="Comic Sans MS"/>
          <w:color w:val="17375E" w:themeColor="text2" w:themeShade="BF"/>
          <w:sz w:val="24"/>
          <w:szCs w:val="24"/>
        </w:rPr>
        <w:t>*</w:t>
      </w:r>
      <w:r>
        <w:rPr>
          <w:rFonts w:ascii="Comic Sans MS" w:hAnsi="Comic Sans MS"/>
          <w:color w:val="17375E" w:themeColor="text2" w:themeShade="BF"/>
          <w:sz w:val="20"/>
          <w:szCs w:val="20"/>
        </w:rPr>
        <w:t>Muitas religiões acreditam num Instrutor do Mundo, n’Aquele que Vem, conhecendo-O por nomes como o Senhor Maitreya, o Imã Mahdi, o Avatar Kalki e Bodhisattva. Estes termos são por vezes usados em versões da Grande Invocação para pessoas com fés específicas.</w:t>
      </w:r>
    </w:p>
    <w:p>
      <w:pPr>
        <w:jc w:val="both"/>
        <w:rPr>
          <w:rFonts w:ascii="Comic Sans MS" w:hAnsi="Comic Sans MS"/>
          <w:color w:val="17375E" w:themeColor="text2" w:themeShade="BF"/>
          <w:sz w:val="20"/>
          <w:szCs w:val="20"/>
        </w:rPr>
      </w:pPr>
    </w:p>
    <w:tbl>
      <w:tblPr>
        <w:tblStyle w:val="5"/>
        <w:tblW w:w="86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644" w:type="dxa"/>
          </w:tcPr>
          <w:p>
            <w:pPr>
              <w:spacing w:after="0" w:line="240" w:lineRule="auto"/>
              <w:jc w:val="both"/>
              <w:rPr>
                <w:rFonts w:ascii="Comic Sans MS" w:hAnsi="Comic Sans MS"/>
                <w:color w:val="17375E" w:themeColor="text2" w:themeShade="BF"/>
              </w:rPr>
            </w:pPr>
            <w:r>
              <w:rPr>
                <w:rFonts w:ascii="Comic Sans MS" w:hAnsi="Comic Sans MS"/>
                <w:color w:val="17375E" w:themeColor="text2" w:themeShade="BF"/>
              </w:rPr>
              <w:t>Os Triângulos é uma atividade de serviço mundial em que as pessoas se ligam em pensamento em grupos de três para criar uma rede planetária de Triângulos de luz e boa vontade. Ao usar uma oração mundial, A Grande Invocação, eles invocam luz e amor como um serviço à humanidade.</w:t>
            </w:r>
          </w:p>
          <w:p>
            <w:pPr>
              <w:spacing w:after="0" w:line="240" w:lineRule="auto"/>
              <w:jc w:val="both"/>
              <w:rPr>
                <w:rFonts w:ascii="Comic Sans MS" w:hAnsi="Comic Sans MS"/>
                <w:color w:val="17375E" w:themeColor="text2" w:themeShade="BF"/>
                <w:sz w:val="24"/>
                <w:szCs w:val="24"/>
              </w:rPr>
            </w:pPr>
            <w:r>
              <w:rPr>
                <w:rFonts w:ascii="Comic Sans MS" w:hAnsi="Comic Sans MS"/>
                <w:color w:val="17375E" w:themeColor="text2" w:themeShade="BF"/>
              </w:rPr>
              <w:t>O Boletim dos Triângulos é para homens e mulheres de boa vontade e é publicado quatro vezes por ano em Holandês, Inglês, Francês, Alemão, Grego, Italiano, Polaco, Português, Russo e Espanhol. Os Triângulos é uma atividade da Lucis Trust.</w:t>
            </w:r>
          </w:p>
        </w:tc>
      </w:tr>
    </w:tbl>
    <w:p>
      <w:pPr>
        <w:jc w:val="both"/>
        <w:rPr>
          <w:rFonts w:ascii="Comic Sans MS" w:hAnsi="Comic Sans MS"/>
          <w:color w:val="17375E" w:themeColor="text2" w:themeShade="BF"/>
          <w:sz w:val="24"/>
          <w:szCs w:val="24"/>
        </w:rPr>
      </w:pPr>
    </w:p>
    <w:p>
      <w:pPr>
        <w:jc w:val="both"/>
        <w:rPr>
          <w:rFonts w:ascii="Comic Sans MS" w:hAnsi="Comic Sans MS"/>
          <w:color w:val="17375E" w:themeColor="text2" w:themeShade="BF"/>
        </w:rPr>
      </w:pPr>
      <w:r>
        <w:rPr>
          <w:rFonts w:ascii="Comic Sans MS" w:hAnsi="Comic Sans MS"/>
          <w:color w:val="17375E" w:themeColor="text2" w:themeShade="BF"/>
        </w:rPr>
        <w:t xml:space="preserve">Os Triângulos dependem apenas de donativos para manter o seu trabalho. O Boletim é distribuído gratuitamente para que se torne o mais disponível possível, mas os donativos são sempre necessários para cobrir este serviço, e somos muito gratos por isso. </w:t>
      </w:r>
    </w:p>
    <w:p>
      <w:pPr>
        <w:jc w:val="both"/>
        <w:rPr>
          <w:rFonts w:ascii="Comic Sans MS" w:hAnsi="Comic Sans MS"/>
          <w:color w:val="17375E" w:themeColor="text2" w:themeShade="BF"/>
          <w:sz w:val="24"/>
          <w:szCs w:val="24"/>
        </w:rPr>
      </w:pPr>
    </w:p>
    <w:p>
      <w:pPr>
        <w:jc w:val="both"/>
        <w:rPr>
          <w:rFonts w:cstheme="minorHAnsi"/>
          <w:color w:val="17375E" w:themeColor="text2" w:themeShade="BF"/>
          <w:lang w:val="en-GB"/>
        </w:rPr>
      </w:pPr>
      <w:r>
        <w:rPr>
          <w:rFonts w:cstheme="minorHAnsi"/>
          <w:color w:val="17375E" w:themeColor="text2" w:themeShade="BF"/>
          <w:lang w:val="en-GB"/>
        </w:rPr>
        <w:t>3 Whitehall Court                               Rue du Stand 40                              866 United Nations Plaza</w:t>
      </w:r>
    </w:p>
    <w:p>
      <w:pPr>
        <w:jc w:val="both"/>
        <w:rPr>
          <w:rFonts w:cstheme="minorHAnsi"/>
          <w:color w:val="17375E" w:themeColor="text2" w:themeShade="BF"/>
          <w:lang w:val="en-GB"/>
        </w:rPr>
      </w:pPr>
      <w:r>
        <w:rPr>
          <w:rFonts w:cstheme="minorHAnsi"/>
          <w:color w:val="17375E" w:themeColor="text2" w:themeShade="BF"/>
          <w:lang w:val="en-GB"/>
        </w:rPr>
        <w:t>Suite 54                                                       Geneve                                         Suite 482 NEW YORK</w:t>
      </w:r>
    </w:p>
    <w:p>
      <w:pPr>
        <w:jc w:val="both"/>
        <w:rPr>
          <w:rFonts w:cstheme="minorHAnsi"/>
          <w:color w:val="17375E" w:themeColor="text2" w:themeShade="BF"/>
          <w:lang w:val="en-GB"/>
        </w:rPr>
      </w:pPr>
      <w:r>
        <w:rPr>
          <w:rFonts w:cstheme="minorHAnsi"/>
          <w:color w:val="17375E" w:themeColor="text2" w:themeShade="BF"/>
          <w:lang w:val="en-GB"/>
        </w:rPr>
        <w:t>London, SW1A 2EF                                     CH-1204                                                 NY 10017</w:t>
      </w:r>
    </w:p>
    <w:p>
      <w:pPr>
        <w:jc w:val="both"/>
        <w:rPr>
          <w:rFonts w:cstheme="minorHAnsi"/>
          <w:color w:val="17375E" w:themeColor="text2" w:themeShade="BF"/>
        </w:rPr>
      </w:pPr>
      <w:r>
        <w:rPr>
          <w:rFonts w:cstheme="minorHAnsi"/>
          <w:color w:val="17375E" w:themeColor="text2" w:themeShade="BF"/>
        </w:rPr>
        <w:t>UK                                                                Switzerland                                                   USA</w:t>
      </w:r>
    </w:p>
    <w:p>
      <w:pPr>
        <w:jc w:val="both"/>
        <w:rPr>
          <w:rFonts w:ascii="Comic Sans MS" w:hAnsi="Comic Sans MS"/>
          <w:color w:val="17375E" w:themeColor="text2" w:themeShade="BF"/>
          <w:sz w:val="24"/>
          <w:szCs w:val="24"/>
        </w:rPr>
      </w:pPr>
    </w:p>
    <w:p>
      <w:pPr>
        <w:jc w:val="both"/>
        <w:rPr>
          <w:rFonts w:ascii="Comic Sans MS" w:hAnsi="Comic Sans MS"/>
          <w:color w:val="17375E" w:themeColor="text2" w:themeShade="BF"/>
          <w:sz w:val="24"/>
          <w:szCs w:val="24"/>
        </w:rPr>
      </w:pPr>
    </w:p>
    <w:p>
      <w:pPr>
        <w:jc w:val="both"/>
        <w:rPr>
          <w:rFonts w:ascii="Comic Sans MS" w:hAnsi="Comic Sans MS"/>
          <w:color w:val="17375E" w:themeColor="text2" w:themeShade="BF"/>
          <w:sz w:val="24"/>
          <w:szCs w:val="24"/>
        </w:rPr>
      </w:pPr>
    </w:p>
    <w:p>
      <w:pPr>
        <w:jc w:val="both"/>
        <w:rPr>
          <w:rFonts w:ascii="Comic Sans MS" w:hAnsi="Comic Sans MS"/>
          <w:color w:val="17375E" w:themeColor="text2" w:themeShade="BF"/>
          <w:sz w:val="24"/>
          <w:szCs w:val="24"/>
        </w:rPr>
      </w:pPr>
    </w:p>
    <w:p>
      <w:pPr>
        <w:jc w:val="both"/>
        <w:rPr>
          <w:rFonts w:ascii="Comic Sans MS" w:hAnsi="Comic Sans MS"/>
          <w:color w:val="17375E" w:themeColor="text2" w:themeShade="BF"/>
          <w:sz w:val="24"/>
          <w:szCs w:val="24"/>
        </w:rPr>
      </w:pPr>
    </w:p>
    <w:p>
      <w:pPr>
        <w:jc w:val="both"/>
        <w:rPr>
          <w:rFonts w:ascii="Comic Sans MS" w:hAnsi="Comic Sans MS"/>
          <w:color w:val="17375E" w:themeColor="text2" w:themeShade="BF"/>
          <w:sz w:val="24"/>
          <w:szCs w:val="24"/>
        </w:rPr>
      </w:pPr>
    </w:p>
    <w:p>
      <w:pPr>
        <w:jc w:val="both"/>
        <w:rPr>
          <w:rFonts w:ascii="Comic Sans MS" w:hAnsi="Comic Sans MS"/>
          <w:color w:val="17375E" w:themeColor="text2" w:themeShade="BF"/>
          <w:sz w:val="24"/>
          <w:szCs w:val="24"/>
        </w:rPr>
      </w:pPr>
    </w:p>
    <w:p>
      <w:pPr>
        <w:jc w:val="both"/>
        <w:rPr>
          <w:rFonts w:ascii="Comic Sans MS" w:hAnsi="Comic Sans MS"/>
          <w:color w:val="17375E" w:themeColor="text2" w:themeShade="BF"/>
          <w:sz w:val="24"/>
          <w:szCs w:val="24"/>
        </w:rPr>
      </w:pPr>
    </w:p>
    <w:p>
      <w:pPr>
        <w:jc w:val="center"/>
        <w:rPr>
          <w:rFonts w:ascii="Comic Sans MS" w:hAnsi="Comic Sans MS"/>
          <w:b/>
          <w:color w:val="17375E" w:themeColor="text2" w:themeShade="BF"/>
          <w:sz w:val="28"/>
          <w:szCs w:val="28"/>
        </w:rPr>
      </w:pPr>
      <w:r>
        <w:rPr>
          <w:rFonts w:ascii="Comic Sans MS" w:hAnsi="Comic Sans MS"/>
          <w:b/>
          <w:color w:val="17375E" w:themeColor="text2" w:themeShade="BF"/>
          <w:sz w:val="28"/>
          <w:szCs w:val="28"/>
        </w:rPr>
        <w:t>Na Adversidade, Força</w:t>
      </w:r>
    </w:p>
    <w:p>
      <w:pPr>
        <w:jc w:val="both"/>
        <w:rPr>
          <w:rFonts w:ascii="Comic Sans MS" w:hAnsi="Comic Sans MS"/>
          <w:color w:val="17375E" w:themeColor="text2" w:themeShade="BF"/>
          <w:sz w:val="24"/>
          <w:szCs w:val="24"/>
        </w:rPr>
      </w:pPr>
    </w:p>
    <w:p>
      <w:pPr>
        <w:jc w:val="both"/>
        <w:rPr>
          <w:rFonts w:ascii="Comic Sans MS" w:hAnsi="Comic Sans MS"/>
          <w:color w:val="17375E" w:themeColor="text2" w:themeShade="BF"/>
          <w:sz w:val="24"/>
          <w:szCs w:val="24"/>
        </w:rPr>
      </w:pPr>
      <w:r>
        <w:rPr>
          <w:rFonts w:ascii="Comic Sans MS" w:hAnsi="Comic Sans MS"/>
          <w:color w:val="17375E" w:themeColor="text2" w:themeShade="BF"/>
          <w:sz w:val="24"/>
          <w:szCs w:val="24"/>
        </w:rPr>
        <w:t>“Vale a pena lembrar que o tempo de maior ganho em termos de sabedoria e força interior é muitas vezes o de maior dificuldade.” (1) Daí a expressão “força através de prova”. Testar e treinar o corpo resulta em força física; a força emocional desenvolve-se através do desapego constante e o ritmo harmonizador da alma. E com o desenvolvimento correto e uso da mente, a força da alma pode ser conhecida; a mente, ao ser um instrumento usado pelo pensador, escolhe e rejeita à vontade formas de pensamento. Assim, por meio de testes espirituais extenuantes o indivíduo e o grupo podem tocar a energia sustentadora e duradoura da alma para ser aplicada espontaneamente no serviço.</w:t>
      </w:r>
    </w:p>
    <w:p>
      <w:pPr>
        <w:jc w:val="both"/>
        <w:rPr>
          <w:rFonts w:ascii="Comic Sans MS" w:hAnsi="Comic Sans MS"/>
          <w:color w:val="17375E" w:themeColor="text2" w:themeShade="BF"/>
          <w:sz w:val="24"/>
          <w:szCs w:val="24"/>
        </w:rPr>
      </w:pPr>
      <w:r>
        <w:rPr>
          <w:rFonts w:ascii="Comic Sans MS" w:hAnsi="Comic Sans MS"/>
          <w:color w:val="17375E" w:themeColor="text2" w:themeShade="BF"/>
          <w:sz w:val="24"/>
          <w:szCs w:val="24"/>
        </w:rPr>
        <w:t>Qual é a força misteriosa que impulsiona o ser humano a superar obstáculos aparentemente avassaladores? Existe um mundo interior de espírito a que se pode ter acesso através da orientação correta da mente, trazendo uma força de desígnio e a vontade de persistir no trabalho criativo, esquecendo as preocupações menores. Este poder orientador é como uma bússola magnética através da qual o sussurro da alma é conhecido, e mantém o aspirante firme no caminho direto e estreito que leva a uma realidade superior.</w:t>
      </w:r>
    </w:p>
    <w:p>
      <w:pPr>
        <w:jc w:val="both"/>
        <w:rPr>
          <w:rFonts w:ascii="Comic Sans MS" w:hAnsi="Comic Sans MS"/>
          <w:color w:val="17375E" w:themeColor="text2" w:themeShade="BF"/>
          <w:sz w:val="24"/>
          <w:szCs w:val="24"/>
        </w:rPr>
      </w:pPr>
      <w:r>
        <w:rPr>
          <w:rFonts w:ascii="Comic Sans MS" w:hAnsi="Comic Sans MS"/>
          <w:color w:val="17375E" w:themeColor="text2" w:themeShade="BF"/>
          <w:sz w:val="24"/>
          <w:szCs w:val="24"/>
        </w:rPr>
        <w:t xml:space="preserve">Para entender a natureza verdadeira desta força interior de desígnio, temos de nos voltar para os ensinamentos espirituais que brilham como um farol de luz ao longo dos tempos. De acordo com os ensinamentos de Agni Yoga, o aspirante aprende a alegrar-se perante obstáculos que multiplicam dez vezes mais o seu engenho. (2) Esta luz orientadora é o eu superior que ao sobrepujar a personalidade durante cada encarnação, confere um fragmento dessa realidade interior no plano físico, limitado pelo tempo e espaço. </w:t>
      </w:r>
    </w:p>
    <w:p>
      <w:pPr>
        <w:jc w:val="both"/>
        <w:rPr>
          <w:rFonts w:ascii="Comic Sans MS" w:hAnsi="Comic Sans MS"/>
          <w:color w:val="17375E" w:themeColor="text2" w:themeShade="BF"/>
          <w:sz w:val="24"/>
          <w:szCs w:val="24"/>
        </w:rPr>
      </w:pPr>
      <w:r>
        <w:rPr>
          <w:rFonts w:ascii="Comic Sans MS" w:hAnsi="Comic Sans MS"/>
          <w:color w:val="17375E" w:themeColor="text2" w:themeShade="BF"/>
          <w:sz w:val="24"/>
          <w:szCs w:val="24"/>
        </w:rPr>
        <w:t>O trabalho de Triângulos, baseado na luz interior, eleva a qualidade vibratória do veículo do planeta, a força ou corpo vital que permeia todas as partes do veículo físico. De acordo com “… vivacidade ou lentidão do corpo etérico assim será a atividade correspondente do corpo físico.” (3) A energia flui e circula mais livremente através de uma estrutura triangular porque as forças de um triângulo são distribuídas uniformemente ao longo de seus três lados. Este fortalecimento é confirmado por engenheiros que constroem estruturas triangulares que fornecem suporte enorme e resistem ao teste do tempo e das forças da natureza.</w:t>
      </w:r>
    </w:p>
    <w:p>
      <w:pPr>
        <w:jc w:val="both"/>
        <w:rPr>
          <w:rFonts w:ascii="Comic Sans MS" w:hAnsi="Comic Sans MS"/>
          <w:color w:val="17375E" w:themeColor="text2" w:themeShade="BF"/>
          <w:sz w:val="24"/>
          <w:szCs w:val="24"/>
        </w:rPr>
      </w:pPr>
      <w:r>
        <w:rPr>
          <w:rFonts w:ascii="Comic Sans MS" w:hAnsi="Comic Sans MS"/>
          <w:color w:val="17375E" w:themeColor="text2" w:themeShade="BF"/>
          <w:sz w:val="24"/>
          <w:szCs w:val="24"/>
        </w:rPr>
        <w:t>Portanto, não é surpresa que a luz e boa vontade invocadas na meditação em grupo pelos trabalhadores dos triângulos em todo o planeta, evoluam através de uma perceção de desígnio partilhado e solidariedade. É um serviço sacrificial que fortalece a rede etérica e permite a entrada de luz. Quando os veículos de expressão dados ao homem estão linhados com a alma, a consciência humana é elevada e o ambiente espiritual do planeta é transformado.</w:t>
      </w:r>
    </w:p>
    <w:p>
      <w:pPr>
        <w:jc w:val="both"/>
        <w:rPr>
          <w:rFonts w:ascii="Comic Sans MS" w:hAnsi="Comic Sans MS"/>
          <w:color w:val="17375E" w:themeColor="text2" w:themeShade="BF"/>
          <w:sz w:val="24"/>
          <w:szCs w:val="24"/>
        </w:rPr>
      </w:pPr>
    </w:p>
    <w:p>
      <w:pPr>
        <w:jc w:val="both"/>
        <w:rPr>
          <w:rFonts w:ascii="Comic Sans MS" w:hAnsi="Comic Sans MS"/>
          <w:color w:val="17375E" w:themeColor="text2" w:themeShade="BF"/>
          <w:sz w:val="24"/>
          <w:szCs w:val="24"/>
        </w:rPr>
      </w:pPr>
    </w:p>
    <w:p>
      <w:pPr>
        <w:jc w:val="both"/>
        <w:rPr>
          <w:rFonts w:ascii="Comic Sans MS" w:hAnsi="Comic Sans MS"/>
          <w:color w:val="17375E" w:themeColor="text2" w:themeShade="BF"/>
          <w:sz w:val="24"/>
          <w:szCs w:val="24"/>
        </w:rPr>
      </w:pPr>
    </w:p>
    <w:p>
      <w:pPr>
        <w:jc w:val="both"/>
        <w:rPr>
          <w:rFonts w:ascii="Comic Sans MS" w:hAnsi="Comic Sans MS"/>
          <w:color w:val="17375E" w:themeColor="text2" w:themeShade="BF"/>
          <w:sz w:val="24"/>
          <w:szCs w:val="24"/>
        </w:rPr>
      </w:pPr>
    </w:p>
    <w:p>
      <w:pPr>
        <w:jc w:val="both"/>
        <w:rPr>
          <w:rFonts w:ascii="Comic Sans MS" w:hAnsi="Comic Sans MS"/>
          <w:color w:val="17375E" w:themeColor="text2" w:themeShade="BF"/>
          <w:sz w:val="24"/>
          <w:szCs w:val="24"/>
        </w:rPr>
      </w:pPr>
    </w:p>
    <w:p>
      <w:pPr>
        <w:jc w:val="both"/>
        <w:rPr>
          <w:rFonts w:ascii="Comic Sans MS" w:hAnsi="Comic Sans MS"/>
          <w:color w:val="17375E" w:themeColor="text2" w:themeShade="BF"/>
          <w:sz w:val="24"/>
          <w:szCs w:val="24"/>
        </w:rPr>
      </w:pPr>
    </w:p>
    <w:p>
      <w:pPr>
        <w:jc w:val="both"/>
        <w:rPr>
          <w:rFonts w:ascii="Comic Sans MS" w:hAnsi="Comic Sans MS"/>
          <w:color w:val="17375E" w:themeColor="text2" w:themeShade="BF"/>
          <w:sz w:val="24"/>
          <w:szCs w:val="24"/>
        </w:rPr>
      </w:pPr>
    </w:p>
    <w:p>
      <w:pPr>
        <w:jc w:val="both"/>
        <w:rPr>
          <w:rFonts w:ascii="Comic Sans MS" w:hAnsi="Comic Sans MS"/>
          <w:color w:val="17375E" w:themeColor="text2" w:themeShade="BF"/>
          <w:sz w:val="24"/>
          <w:szCs w:val="24"/>
        </w:rPr>
      </w:pPr>
    </w:p>
    <w:p>
      <w:pPr>
        <w:jc w:val="both"/>
        <w:rPr>
          <w:rFonts w:ascii="Comic Sans MS" w:hAnsi="Comic Sans MS"/>
          <w:color w:val="17375E" w:themeColor="text2" w:themeShade="BF"/>
          <w:sz w:val="24"/>
          <w:szCs w:val="24"/>
        </w:rPr>
      </w:pPr>
    </w:p>
    <w:p>
      <w:pPr>
        <w:jc w:val="both"/>
        <w:rPr>
          <w:rFonts w:ascii="Comic Sans MS" w:hAnsi="Comic Sans MS"/>
          <w:color w:val="17375E" w:themeColor="text2" w:themeShade="BF"/>
          <w:sz w:val="24"/>
          <w:szCs w:val="24"/>
        </w:rPr>
      </w:pPr>
    </w:p>
    <w:p>
      <w:pPr>
        <w:jc w:val="both"/>
        <w:rPr>
          <w:rFonts w:ascii="Comic Sans MS" w:hAnsi="Comic Sans MS"/>
          <w:color w:val="17375E" w:themeColor="text2" w:themeShade="BF"/>
          <w:sz w:val="24"/>
          <w:szCs w:val="24"/>
        </w:rPr>
      </w:pPr>
    </w:p>
    <w:p>
      <w:pPr>
        <w:jc w:val="both"/>
        <w:rPr>
          <w:rFonts w:ascii="Comic Sans MS" w:hAnsi="Comic Sans MS"/>
          <w:color w:val="17375E" w:themeColor="text2" w:themeShade="BF"/>
          <w:sz w:val="24"/>
          <w:szCs w:val="24"/>
        </w:rPr>
      </w:pPr>
    </w:p>
    <w:p>
      <w:pPr>
        <w:jc w:val="both"/>
        <w:rPr>
          <w:rFonts w:ascii="Comic Sans MS" w:hAnsi="Comic Sans MS"/>
          <w:color w:val="17375E" w:themeColor="text2" w:themeShade="BF"/>
          <w:sz w:val="24"/>
          <w:szCs w:val="24"/>
        </w:rPr>
      </w:pPr>
    </w:p>
    <w:p>
      <w:pPr>
        <w:pStyle w:val="7"/>
        <w:numPr>
          <w:ilvl w:val="0"/>
          <w:numId w:val="1"/>
        </w:numPr>
        <w:jc w:val="both"/>
        <w:rPr>
          <w:rFonts w:ascii="Comic Sans MS" w:hAnsi="Comic Sans MS"/>
          <w:color w:val="17375E" w:themeColor="text2" w:themeShade="BF"/>
          <w:sz w:val="24"/>
          <w:szCs w:val="24"/>
        </w:rPr>
      </w:pPr>
      <w:r>
        <w:rPr>
          <w:rFonts w:ascii="Comic Sans MS" w:hAnsi="Comic Sans MS"/>
          <w:color w:val="17375E" w:themeColor="text2" w:themeShade="BF"/>
          <w:sz w:val="24"/>
          <w:szCs w:val="24"/>
        </w:rPr>
        <w:t>A Essência de Sabedoria, Dalai Lama, p.74</w:t>
      </w:r>
    </w:p>
    <w:p>
      <w:pPr>
        <w:pStyle w:val="7"/>
        <w:numPr>
          <w:ilvl w:val="0"/>
          <w:numId w:val="1"/>
        </w:numPr>
        <w:jc w:val="both"/>
        <w:rPr>
          <w:rFonts w:ascii="Comic Sans MS" w:hAnsi="Comic Sans MS"/>
          <w:color w:val="17375E" w:themeColor="text2" w:themeShade="BF"/>
          <w:sz w:val="24"/>
          <w:szCs w:val="24"/>
        </w:rPr>
      </w:pPr>
      <w:r>
        <w:rPr>
          <w:rFonts w:ascii="Comic Sans MS" w:hAnsi="Comic Sans MS"/>
          <w:color w:val="17375E" w:themeColor="text2" w:themeShade="BF"/>
          <w:sz w:val="24"/>
          <w:szCs w:val="24"/>
        </w:rPr>
        <w:t>Agni Yoga, Sutra 72 (adaptado)</w:t>
      </w:r>
    </w:p>
    <w:p>
      <w:pPr>
        <w:pStyle w:val="7"/>
        <w:numPr>
          <w:ilvl w:val="0"/>
          <w:numId w:val="1"/>
        </w:numPr>
        <w:jc w:val="both"/>
        <w:rPr>
          <w:rFonts w:ascii="Comic Sans MS" w:hAnsi="Comic Sans MS"/>
          <w:color w:val="17375E" w:themeColor="text2" w:themeShade="BF"/>
          <w:sz w:val="24"/>
          <w:szCs w:val="24"/>
        </w:rPr>
      </w:pPr>
      <w:r>
        <w:rPr>
          <w:rFonts w:ascii="Comic Sans MS" w:hAnsi="Comic Sans MS"/>
          <w:color w:val="17375E" w:themeColor="text2" w:themeShade="BF"/>
          <w:sz w:val="24"/>
          <w:szCs w:val="24"/>
        </w:rPr>
        <w:t>A Luz da Alma, Alice Bailey, pp 218-219</w:t>
      </w:r>
    </w:p>
    <w:p>
      <w:pPr>
        <w:jc w:val="both"/>
        <w:rPr>
          <w:rFonts w:ascii="Comic Sans MS" w:hAnsi="Comic Sans MS"/>
          <w:color w:val="17375E" w:themeColor="text2" w:themeShade="BF"/>
          <w:sz w:val="24"/>
          <w:szCs w:val="24"/>
        </w:rPr>
      </w:pPr>
    </w:p>
    <w:p>
      <w:pPr>
        <w:jc w:val="center"/>
        <w:rPr>
          <w:rFonts w:ascii="Comic Sans MS" w:hAnsi="Comic Sans MS"/>
          <w:b/>
          <w:color w:val="17375E" w:themeColor="text2" w:themeShade="BF"/>
          <w:sz w:val="28"/>
          <w:szCs w:val="28"/>
        </w:rPr>
      </w:pPr>
      <w:r>
        <w:rPr>
          <w:rFonts w:ascii="Comic Sans MS" w:hAnsi="Comic Sans MS"/>
          <w:b/>
          <w:color w:val="17375E" w:themeColor="text2" w:themeShade="BF"/>
          <w:sz w:val="28"/>
          <w:szCs w:val="28"/>
        </w:rPr>
        <w:t>Em Alinhamento, Inspiração</w:t>
      </w:r>
    </w:p>
    <w:p>
      <w:pPr>
        <w:jc w:val="both"/>
        <w:rPr>
          <w:rFonts w:ascii="Comic Sans MS" w:hAnsi="Comic Sans MS"/>
          <w:color w:val="17375E" w:themeColor="text2" w:themeShade="BF"/>
          <w:sz w:val="24"/>
          <w:szCs w:val="24"/>
        </w:rPr>
      </w:pPr>
      <w:r>
        <w:rPr>
          <w:rFonts w:ascii="Comic Sans MS" w:hAnsi="Comic Sans MS"/>
          <w:color w:val="17375E" w:themeColor="text2" w:themeShade="BF"/>
          <w:sz w:val="24"/>
          <w:szCs w:val="24"/>
        </w:rPr>
        <w:t>Neste mundo acelerado e congestionado, a ideia de não ter tempo suficiente para o que nos esforçamos por alcançar é uma experiência bem conhecida. Incluídos que estão a pressa e a pressão, viver com um olho no relógio, cobra o seu preço. É para neutralizar este esgotamento e desequilíbrio energéticos que se busca a reflexão silenciosa. Desta forma, pode-se recuperar mais controle, conectando-se mais intimamente ao percurso pretendido e ao alinhamento espiritual individual.</w:t>
      </w:r>
    </w:p>
    <w:p>
      <w:pPr>
        <w:jc w:val="both"/>
        <w:rPr>
          <w:rFonts w:ascii="Comic Sans MS" w:hAnsi="Comic Sans MS"/>
          <w:color w:val="17375E" w:themeColor="text2" w:themeShade="BF"/>
          <w:sz w:val="24"/>
          <w:szCs w:val="24"/>
        </w:rPr>
      </w:pPr>
      <w:r>
        <w:rPr>
          <w:rFonts w:ascii="Comic Sans MS" w:hAnsi="Comic Sans MS"/>
          <w:color w:val="17375E" w:themeColor="text2" w:themeShade="BF"/>
          <w:sz w:val="24"/>
          <w:szCs w:val="24"/>
        </w:rPr>
        <w:t xml:space="preserve">O alinhamento é também um aspeto essencial do trabalho criativo grupal. Ele constitui a base para a rede de Triângulos e outras formas de serviço como a conexão a energias espirituais superiores. Estas energias estão disponíveis para cada pessoa como emanações da alma, bem como energias vitais dos reinos divinos de seres mais iluminados que procuram ajudar a humanidade. A conexão e o relacionamento significativo com essas influências superiores são auxiliadas pela prática da meditação, que direciona o pensamento para o que é divino e treina a mente a concentrar-se. Tem sido descrito como “uma técnica da mente que eventualmente produz relacionamento correto e livre; este é um outro nome para alinhamento.” (1) Cria o espaço no qual a quietude mental pode ser cultivada e intensificada e onde o foco persistente e paciente num tópico escolhido permite que preocupações estranhas sejam silenciadas. É dentro deste ponto silencioso de tensão focada e construtiva que a mente pode ser impressionada por energias espirituais superiores. </w:t>
      </w:r>
    </w:p>
    <w:p>
      <w:pPr>
        <w:jc w:val="both"/>
        <w:rPr>
          <w:rFonts w:ascii="Comic Sans MS" w:hAnsi="Comic Sans MS"/>
          <w:color w:val="17375E" w:themeColor="text2" w:themeShade="BF"/>
          <w:sz w:val="24"/>
          <w:szCs w:val="24"/>
        </w:rPr>
      </w:pPr>
      <w:r>
        <w:rPr>
          <w:rFonts w:ascii="Comic Sans MS" w:hAnsi="Comic Sans MS"/>
          <w:color w:val="17375E" w:themeColor="text2" w:themeShade="BF"/>
          <w:sz w:val="24"/>
          <w:szCs w:val="24"/>
        </w:rPr>
        <w:t>Uma expressão de silêncio interior profundo é a capacidade de ouvir com uma recetividade alinhada e resoluta, focada no que está a ser transmitido. Esse equilíbrio cria um espaço sem julgamento para a boa vontade iluminada entrar e aguardar tanto a assimilação como a formulação de uma resposta apropriada. Dentro de um contexto religioso, esta mesma quietude pode ser descrita em termos de fé e comunicação na oração. Certa vez a Madre Teresa referiu-se a isso quando lhe perguntaram o que é que ela fazia quando rezava. Respondeu que ouvia. Então, quando questionada sobre o que Deus fazia quando ela rezava, ela respondeu que Ele ouvia.</w:t>
      </w:r>
    </w:p>
    <w:p>
      <w:pPr>
        <w:jc w:val="both"/>
        <w:rPr>
          <w:rFonts w:ascii="Comic Sans MS" w:hAnsi="Comic Sans MS"/>
          <w:color w:val="17375E" w:themeColor="text2" w:themeShade="BF"/>
          <w:sz w:val="24"/>
          <w:szCs w:val="24"/>
        </w:rPr>
      </w:pPr>
      <w:r>
        <w:rPr>
          <w:rFonts w:ascii="Comic Sans MS" w:hAnsi="Comic Sans MS"/>
          <w:color w:val="17375E" w:themeColor="text2" w:themeShade="BF"/>
          <w:sz w:val="24"/>
          <w:szCs w:val="24"/>
        </w:rPr>
        <w:t xml:space="preserve">Uma quietude interior tão profunda como essa, como o silêncio necessário para a meditação, é finalmente estabelecido por meio de persistência e a rejeição paciente de pensamentos rebeldes e interferência emocional. Quando tal calma interior é alcançada, mesmo que fugazmente, uma quietude profunda pode revelar-se. O vazio deste espaço não é sem vida, nem é verdadeiramente vazio, pelo contrário, a sua qualidade sugere que é semelhante ao magnetismo. Admiravelmente sintonizado atrai um certo tipo de vibração favorável à perceção abstrata e à comunicação espiritual não limitada por palavras e talvez mais facilmente expressa nas energias de luz e amor. Estas mesmas energias são aquelas que as meditações de Triângulos fazem circular ao serviço da humanidade. </w:t>
      </w:r>
    </w:p>
    <w:p>
      <w:pPr>
        <w:jc w:val="both"/>
        <w:rPr>
          <w:rFonts w:ascii="Comic Sans MS" w:hAnsi="Comic Sans MS"/>
          <w:color w:val="17375E" w:themeColor="text2" w:themeShade="BF"/>
          <w:sz w:val="24"/>
          <w:szCs w:val="24"/>
        </w:rPr>
      </w:pPr>
    </w:p>
    <w:p>
      <w:pPr>
        <w:jc w:val="both"/>
        <w:rPr>
          <w:rFonts w:ascii="Comic Sans MS" w:hAnsi="Comic Sans MS"/>
          <w:color w:val="17375E" w:themeColor="text2" w:themeShade="BF"/>
          <w:sz w:val="24"/>
          <w:szCs w:val="24"/>
        </w:rPr>
      </w:pPr>
      <w:r>
        <w:rPr>
          <w:rFonts w:ascii="Comic Sans MS" w:hAnsi="Comic Sans MS"/>
          <w:color w:val="17375E" w:themeColor="text2" w:themeShade="BF"/>
          <w:sz w:val="24"/>
          <w:szCs w:val="24"/>
        </w:rPr>
        <w:t xml:space="preserve"> </w:t>
      </w:r>
    </w:p>
    <w:p>
      <w:pPr>
        <w:jc w:val="both"/>
        <w:rPr>
          <w:rFonts w:ascii="Comic Sans MS" w:hAnsi="Comic Sans MS"/>
          <w:color w:val="17375E" w:themeColor="text2" w:themeShade="BF"/>
          <w:sz w:val="24"/>
          <w:szCs w:val="24"/>
        </w:rPr>
      </w:pPr>
    </w:p>
    <w:p>
      <w:pPr>
        <w:jc w:val="both"/>
        <w:rPr>
          <w:rFonts w:ascii="Comic Sans MS" w:hAnsi="Comic Sans MS"/>
          <w:color w:val="17375E" w:themeColor="text2" w:themeShade="BF"/>
          <w:sz w:val="24"/>
          <w:szCs w:val="24"/>
        </w:rPr>
      </w:pPr>
    </w:p>
    <w:p>
      <w:pPr>
        <w:jc w:val="both"/>
        <w:rPr>
          <w:rFonts w:ascii="Comic Sans MS" w:hAnsi="Comic Sans MS"/>
          <w:color w:val="17375E" w:themeColor="text2" w:themeShade="BF"/>
          <w:sz w:val="24"/>
          <w:szCs w:val="24"/>
        </w:rPr>
      </w:pPr>
    </w:p>
    <w:p>
      <w:pPr>
        <w:jc w:val="both"/>
        <w:rPr>
          <w:rFonts w:ascii="Comic Sans MS" w:hAnsi="Comic Sans MS"/>
          <w:color w:val="17375E" w:themeColor="text2" w:themeShade="BF"/>
          <w:sz w:val="24"/>
          <w:szCs w:val="24"/>
        </w:rPr>
      </w:pPr>
    </w:p>
    <w:p>
      <w:pPr>
        <w:jc w:val="both"/>
        <w:rPr>
          <w:rFonts w:ascii="Comic Sans MS" w:hAnsi="Comic Sans MS"/>
          <w:color w:val="17375E" w:themeColor="text2" w:themeShade="BF"/>
          <w:sz w:val="24"/>
          <w:szCs w:val="24"/>
        </w:rPr>
      </w:pPr>
    </w:p>
    <w:p>
      <w:pPr>
        <w:jc w:val="both"/>
        <w:rPr>
          <w:rFonts w:ascii="Comic Sans MS" w:hAnsi="Comic Sans MS"/>
          <w:color w:val="17375E" w:themeColor="text2" w:themeShade="BF"/>
          <w:sz w:val="24"/>
          <w:szCs w:val="24"/>
        </w:rPr>
      </w:pPr>
    </w:p>
    <w:p>
      <w:pPr>
        <w:jc w:val="both"/>
        <w:rPr>
          <w:rFonts w:ascii="Comic Sans MS" w:hAnsi="Comic Sans MS"/>
          <w:color w:val="17375E" w:themeColor="text2" w:themeShade="BF"/>
          <w:sz w:val="24"/>
          <w:szCs w:val="24"/>
        </w:rPr>
      </w:pPr>
    </w:p>
    <w:p>
      <w:pPr>
        <w:jc w:val="both"/>
        <w:rPr>
          <w:rFonts w:ascii="Comic Sans MS" w:hAnsi="Comic Sans MS"/>
          <w:color w:val="17375E" w:themeColor="text2" w:themeShade="BF"/>
          <w:sz w:val="24"/>
          <w:szCs w:val="24"/>
        </w:rPr>
      </w:pPr>
      <w:r>
        <w:rPr>
          <w:rFonts w:ascii="Comic Sans MS" w:hAnsi="Comic Sans MS"/>
          <w:color w:val="17375E" w:themeColor="text2" w:themeShade="BF"/>
          <w:sz w:val="24"/>
          <w:szCs w:val="24"/>
        </w:rPr>
        <w:t xml:space="preserve">     </w:t>
      </w:r>
    </w:p>
    <w:p>
      <w:pPr>
        <w:jc w:val="both"/>
        <w:rPr>
          <w:rFonts w:ascii="Comic Sans MS" w:hAnsi="Comic Sans MS"/>
          <w:color w:val="17375E" w:themeColor="text2" w:themeShade="BF"/>
          <w:sz w:val="24"/>
          <w:szCs w:val="24"/>
        </w:rPr>
      </w:pPr>
    </w:p>
    <w:p>
      <w:pPr>
        <w:jc w:val="both"/>
        <w:rPr>
          <w:rFonts w:ascii="Comic Sans MS" w:hAnsi="Comic Sans MS"/>
          <w:color w:val="17375E" w:themeColor="text2" w:themeShade="BF"/>
          <w:sz w:val="24"/>
          <w:szCs w:val="24"/>
        </w:rPr>
      </w:pPr>
    </w:p>
    <w:p>
      <w:pPr>
        <w:jc w:val="both"/>
        <w:rPr>
          <w:rFonts w:ascii="Comic Sans MS" w:hAnsi="Comic Sans MS"/>
          <w:color w:val="17375E" w:themeColor="text2" w:themeShade="BF"/>
          <w:sz w:val="24"/>
          <w:szCs w:val="24"/>
        </w:rPr>
      </w:pPr>
    </w:p>
    <w:p>
      <w:pPr>
        <w:jc w:val="both"/>
        <w:rPr>
          <w:rFonts w:ascii="Comic Sans MS" w:hAnsi="Comic Sans MS"/>
          <w:color w:val="17375E" w:themeColor="text2" w:themeShade="BF"/>
          <w:sz w:val="24"/>
          <w:szCs w:val="24"/>
        </w:rPr>
      </w:pPr>
    </w:p>
    <w:p>
      <w:pPr>
        <w:jc w:val="both"/>
        <w:rPr>
          <w:rFonts w:ascii="Comic Sans MS" w:hAnsi="Comic Sans MS"/>
          <w:color w:val="17375E" w:themeColor="text2" w:themeShade="BF"/>
          <w:sz w:val="24"/>
          <w:szCs w:val="24"/>
        </w:rPr>
      </w:pPr>
    </w:p>
    <w:p>
      <w:pPr>
        <w:jc w:val="both"/>
        <w:rPr>
          <w:rFonts w:ascii="Comic Sans MS" w:hAnsi="Comic Sans MS"/>
          <w:color w:val="17375E" w:themeColor="text2" w:themeShade="BF"/>
          <w:sz w:val="24"/>
          <w:szCs w:val="24"/>
        </w:rPr>
      </w:pPr>
    </w:p>
    <w:p>
      <w:pPr>
        <w:jc w:val="both"/>
        <w:rPr>
          <w:rFonts w:ascii="Comic Sans MS" w:hAnsi="Comic Sans MS"/>
          <w:color w:val="17375E" w:themeColor="text2" w:themeShade="BF"/>
          <w:sz w:val="24"/>
          <w:szCs w:val="24"/>
        </w:rPr>
      </w:pPr>
    </w:p>
    <w:p>
      <w:pPr>
        <w:pStyle w:val="7"/>
        <w:numPr>
          <w:ilvl w:val="0"/>
          <w:numId w:val="2"/>
        </w:numPr>
        <w:jc w:val="both"/>
        <w:rPr>
          <w:rFonts w:ascii="Comic Sans MS" w:hAnsi="Comic Sans MS"/>
          <w:color w:val="17375E" w:themeColor="text2" w:themeShade="BF"/>
          <w:sz w:val="24"/>
          <w:szCs w:val="24"/>
        </w:rPr>
      </w:pPr>
      <w:r>
        <w:rPr>
          <w:rFonts w:ascii="Comic Sans MS" w:hAnsi="Comic Sans MS"/>
          <w:color w:val="17375E" w:themeColor="text2" w:themeShade="BF"/>
          <w:sz w:val="24"/>
          <w:szCs w:val="24"/>
        </w:rPr>
        <w:t>Cura Esotérica, Alice Bailey, p. 620</w:t>
      </w:r>
    </w:p>
    <w:p>
      <w:pPr>
        <w:ind w:left="360"/>
        <w:jc w:val="center"/>
        <w:rPr>
          <w:rFonts w:ascii="Comic Sans MS" w:hAnsi="Comic Sans MS"/>
          <w:b/>
          <w:color w:val="17375E" w:themeColor="text2" w:themeShade="BF"/>
          <w:sz w:val="28"/>
          <w:szCs w:val="28"/>
        </w:rPr>
      </w:pPr>
      <w:r>
        <w:rPr>
          <w:rFonts w:ascii="Comic Sans MS" w:hAnsi="Comic Sans MS"/>
          <w:b/>
          <w:color w:val="17375E" w:themeColor="text2" w:themeShade="BF"/>
          <w:sz w:val="28"/>
          <w:szCs w:val="28"/>
        </w:rPr>
        <w:t>A Rede Planetária</w:t>
      </w:r>
    </w:p>
    <w:p>
      <w:pPr>
        <w:ind w:left="360"/>
        <w:jc w:val="both"/>
        <w:rPr>
          <w:rFonts w:ascii="Comic Sans MS" w:hAnsi="Comic Sans MS"/>
          <w:b/>
          <w:color w:val="17375E" w:themeColor="text2" w:themeShade="BF"/>
          <w:sz w:val="24"/>
          <w:szCs w:val="24"/>
        </w:rPr>
      </w:pPr>
      <w:r>
        <w:rPr>
          <w:rFonts w:ascii="Comic Sans MS" w:hAnsi="Comic Sans MS"/>
          <w:b/>
          <w:color w:val="17375E" w:themeColor="text2" w:themeShade="BF"/>
          <w:sz w:val="24"/>
          <w:szCs w:val="24"/>
        </w:rPr>
        <w:t>ServiceSpace</w:t>
      </w:r>
    </w:p>
    <w:p>
      <w:pPr>
        <w:pStyle w:val="7"/>
        <w:ind w:left="1080"/>
        <w:jc w:val="both"/>
        <w:rPr>
          <w:rFonts w:ascii="Comic Sans MS" w:hAnsi="Comic Sans MS"/>
          <w:color w:val="17375E" w:themeColor="text2" w:themeShade="BF"/>
          <w:sz w:val="24"/>
          <w:szCs w:val="24"/>
        </w:rPr>
      </w:pPr>
      <w:r>
        <w:rPr>
          <w:rFonts w:ascii="Comic Sans MS" w:hAnsi="Comic Sans MS"/>
          <w:color w:val="17375E" w:themeColor="text2" w:themeShade="BF"/>
          <w:sz w:val="24"/>
          <w:szCs w:val="24"/>
        </w:rPr>
        <w:t>Esta é uma organização gerida inteiramente por voluntários. Encoraja as pessoas em todo o mundo a fazer pequenos atos de serviço com o objetivo de estimular a generosidade fundamental da humanidade e criar tanto a transformação interior como exterior. Os seus projetos incluem um serviço diário de notícias positivas, um portal de atos de bondade e um restaurante baseado numa economia de dádiva. Eles agem cooperativamente para criar oportunidades de serviço e apoiar uns aos outros nas suas iniciativas de serviço escolhidas.</w:t>
      </w:r>
    </w:p>
    <w:p>
      <w:pPr>
        <w:pStyle w:val="7"/>
        <w:ind w:left="1080"/>
        <w:jc w:val="both"/>
        <w:rPr>
          <w:rFonts w:ascii="Comic Sans MS" w:hAnsi="Comic Sans MS"/>
          <w:color w:val="17375E" w:themeColor="text2" w:themeShade="BF"/>
          <w:sz w:val="24"/>
          <w:szCs w:val="24"/>
        </w:rPr>
      </w:pPr>
      <w:r>
        <w:rPr>
          <w:rFonts w:ascii="Comic Sans MS" w:hAnsi="Comic Sans MS"/>
          <w:color w:val="17375E" w:themeColor="text2" w:themeShade="BF"/>
          <w:sz w:val="24"/>
          <w:szCs w:val="24"/>
        </w:rPr>
        <w:t>Eles começaram por ajudar organizações sem fins lucrativos com serviços técnicos e, nas últimas décadas, o ServiceSpace tornou-se uma proteção para muitos outros projetos movidos pela generosidade, incentivando as pessoas a contribuir de um modo significativo para o mundo ao seu redor. Esta plataforma foi agora expandida para permitir que as pessoas fiquem conectadas com outras pessoas interessadas em serviço e participarem de oportunidades de serviço por meio de seus projetos, bem como a organizar os seus próprios eventos locais de serviço. Através de pequenos atos coletivos, eles trabalham para se transformarem a si mesmos e ao mundo.</w:t>
      </w:r>
    </w:p>
    <w:p>
      <w:pPr>
        <w:pStyle w:val="7"/>
        <w:jc w:val="both"/>
        <w:rPr>
          <w:rFonts w:ascii="Comic Sans MS" w:hAnsi="Comic Sans MS"/>
          <w:b/>
          <w:color w:val="17375E" w:themeColor="text2" w:themeShade="BF"/>
          <w:sz w:val="24"/>
          <w:szCs w:val="24"/>
        </w:rPr>
      </w:pPr>
    </w:p>
    <w:p>
      <w:pPr>
        <w:pStyle w:val="7"/>
        <w:jc w:val="both"/>
        <w:rPr>
          <w:rFonts w:ascii="Comic Sans MS" w:hAnsi="Comic Sans MS"/>
          <w:color w:val="17375E" w:themeColor="text2" w:themeShade="BF"/>
          <w:sz w:val="24"/>
          <w:szCs w:val="24"/>
          <w:lang w:val="en-GB"/>
        </w:rPr>
      </w:pPr>
      <w:r>
        <w:rPr>
          <w:rFonts w:ascii="Comic Sans MS" w:hAnsi="Comic Sans MS"/>
          <w:b/>
          <w:color w:val="17375E" w:themeColor="text2" w:themeShade="BF"/>
          <w:sz w:val="24"/>
          <w:szCs w:val="24"/>
          <w:lang w:val="en-GB"/>
        </w:rPr>
        <w:t xml:space="preserve">Grupo Unity of Life Meditation – </w:t>
      </w:r>
      <w:r>
        <w:rPr>
          <w:rFonts w:ascii="Comic Sans MS" w:hAnsi="Comic Sans MS"/>
          <w:color w:val="17375E" w:themeColor="text2" w:themeShade="BF"/>
          <w:sz w:val="24"/>
          <w:szCs w:val="24"/>
          <w:lang w:val="en-GB"/>
        </w:rPr>
        <w:t>1632 A. G. Tuazon St., Sampaloc, Manila,Filipinas</w:t>
      </w:r>
    </w:p>
    <w:p>
      <w:pPr>
        <w:pStyle w:val="7"/>
        <w:jc w:val="both"/>
        <w:rPr>
          <w:rFonts w:ascii="Comic Sans MS" w:hAnsi="Comic Sans MS"/>
          <w:color w:val="17375E" w:themeColor="text2" w:themeShade="BF"/>
          <w:sz w:val="24"/>
          <w:szCs w:val="24"/>
          <w:lang w:val="en-GB"/>
        </w:rPr>
      </w:pPr>
    </w:p>
    <w:p>
      <w:pPr>
        <w:pStyle w:val="7"/>
        <w:jc w:val="both"/>
        <w:rPr>
          <w:rFonts w:ascii="Comic Sans MS" w:hAnsi="Comic Sans MS"/>
          <w:color w:val="17375E" w:themeColor="text2" w:themeShade="BF"/>
          <w:sz w:val="24"/>
          <w:szCs w:val="24"/>
        </w:rPr>
      </w:pPr>
      <w:r>
        <w:rPr>
          <w:rFonts w:ascii="Comic Sans MS" w:hAnsi="Comic Sans MS"/>
          <w:color w:val="17375E" w:themeColor="text2" w:themeShade="BF"/>
          <w:sz w:val="24"/>
          <w:szCs w:val="24"/>
        </w:rPr>
        <w:t>O grupo é formado como uma unidade de serviço – uma associação de indivíduos que compartilham o objetivo da Lucis Trust em promover um futuro baseado em valores e princípios espirituais, e que dedicam os seus esforços e compreensão para servir ativamente este propósito. Meditações de grupo no período da lua nova e cheia estão a ser mantidas bem como outras meditações de cura. Algumas das suas atividades incluem colaborar com um grupo de médicos para fornecer acesso médico a uma comunidade remota e trabalhar com um orfanato ajudando na limpeza, no fornecimento de comida e na leitura de histórias para as crianças.</w:t>
      </w:r>
    </w:p>
    <w:p>
      <w:pPr>
        <w:pStyle w:val="7"/>
        <w:jc w:val="both"/>
        <w:rPr>
          <w:rFonts w:ascii="Comic Sans MS" w:hAnsi="Comic Sans MS"/>
          <w:color w:val="17375E" w:themeColor="text2" w:themeShade="BF"/>
          <w:sz w:val="24"/>
          <w:szCs w:val="24"/>
        </w:rPr>
      </w:pPr>
      <w:r>
        <w:rPr>
          <w:rFonts w:ascii="Comic Sans MS" w:hAnsi="Comic Sans MS"/>
          <w:color w:val="17375E" w:themeColor="text2" w:themeShade="BF"/>
          <w:sz w:val="24"/>
          <w:szCs w:val="24"/>
        </w:rPr>
        <w:t>Em Outubro de 2022, o grupo juntou-se a outras Unidades de serviço na Coreia, Japão e Vietname para apresentar um webinar que foi o primeiro Encontro da Comunidade Esotérica Asiática. Isso levou a um acordo conjunto para se conectarem todos os Domingos para visualizar a sua comunidade regional como pontos de luz e enunciar a Grande Invocação. O segundo Encontro Esotérico Asiático e a Meditação Esotérica da Páscoa (Lua Cheia de Carneiro) estão a ser planeados em cooperação com Esoteric Tokyo, a Coreia do Sul, Ageless Wisdom Vietnam e Sydney Goodwill Australia. O tema será O Uso da Grande Invocação na Promoção da Unidade Espiritual e concluirá com o Festival de Carneiro.</w:t>
      </w:r>
    </w:p>
    <w:p>
      <w:pPr>
        <w:pStyle w:val="7"/>
        <w:jc w:val="both"/>
        <w:rPr>
          <w:rFonts w:ascii="Comic Sans MS" w:hAnsi="Comic Sans MS"/>
          <w:color w:val="17375E" w:themeColor="text2" w:themeShade="BF"/>
          <w:sz w:val="24"/>
          <w:szCs w:val="24"/>
        </w:rPr>
      </w:pPr>
      <w:r>
        <w:rPr>
          <w:rFonts w:ascii="Comic Sans MS" w:hAnsi="Comic Sans MS"/>
          <w:color w:val="17375E" w:themeColor="text2" w:themeShade="BF"/>
          <w:sz w:val="24"/>
          <w:szCs w:val="24"/>
        </w:rPr>
        <w:t>A Rede Mundial de Servidores está localizada em todo o mundo. São servidores cujas atividades são inspiradas nos ensinamentos da Sabedoria Sem Idade baseada nos livros de Alice Bailey. Para obter mais informações sobre Unidades de Serviço e outros grupos de serviço associados a Lucis Trust, consulte a página do site da Lucis Trust usando o seguinte link: lucistrust/worldwide_network</w:t>
      </w:r>
    </w:p>
    <w:p>
      <w:pPr>
        <w:pStyle w:val="7"/>
        <w:jc w:val="both"/>
        <w:rPr>
          <w:rFonts w:ascii="Comic Sans MS" w:hAnsi="Comic Sans MS"/>
          <w:b/>
          <w:color w:val="17375E" w:themeColor="text2" w:themeShade="BF"/>
          <w:sz w:val="24"/>
          <w:szCs w:val="24"/>
        </w:rPr>
      </w:pPr>
      <w:r>
        <w:rPr>
          <w:rFonts w:ascii="Comic Sans MS" w:hAnsi="Comic Sans MS"/>
          <w:b/>
          <w:color w:val="17375E" w:themeColor="text2" w:themeShade="BF"/>
          <w:sz w:val="24"/>
          <w:szCs w:val="24"/>
        </w:rPr>
        <w:t xml:space="preserve"> </w:t>
      </w:r>
    </w:p>
    <w:p>
      <w:pPr>
        <w:jc w:val="both"/>
        <w:rPr>
          <w:rFonts w:ascii="Comic Sans MS" w:hAnsi="Comic Sans MS"/>
          <w:color w:val="17375E" w:themeColor="text2" w:themeShade="BF"/>
          <w:sz w:val="24"/>
          <w:szCs w:val="24"/>
        </w:rPr>
      </w:pPr>
      <w:r>
        <w:rPr>
          <w:rFonts w:ascii="Comic Sans MS" w:hAnsi="Comic Sans MS"/>
          <w:color w:val="17375E" w:themeColor="text2" w:themeShade="BF"/>
          <w:sz w:val="24"/>
          <w:szCs w:val="24"/>
        </w:rPr>
        <w:t xml:space="preserve"> </w:t>
      </w:r>
    </w:p>
    <w:p>
      <w:pPr>
        <w:pStyle w:val="7"/>
        <w:ind w:left="1080"/>
        <w:jc w:val="both"/>
        <w:rPr>
          <w:rFonts w:ascii="Comic Sans MS" w:hAnsi="Comic Sans MS"/>
          <w:color w:val="17375E" w:themeColor="text2" w:themeShade="BF"/>
          <w:sz w:val="24"/>
          <w:szCs w:val="24"/>
        </w:rPr>
      </w:pPr>
    </w:p>
    <w:p>
      <w:pPr>
        <w:rPr>
          <w:rFonts w:ascii="Comic Sans MS" w:hAnsi="Comic Sans MS"/>
          <w:b/>
          <w:color w:val="17375E" w:themeColor="text2" w:themeShade="BF"/>
          <w:sz w:val="28"/>
          <w:szCs w:val="28"/>
        </w:rPr>
      </w:pPr>
    </w:p>
    <w:p>
      <w:pPr>
        <w:pStyle w:val="7"/>
        <w:ind w:left="1080"/>
        <w:jc w:val="both"/>
        <w:rPr>
          <w:rFonts w:ascii="Comic Sans MS" w:hAnsi="Comic Sans MS"/>
          <w:color w:val="17375E" w:themeColor="text2" w:themeShade="BF"/>
          <w:sz w:val="24"/>
          <w:szCs w:val="24"/>
        </w:rPr>
      </w:pPr>
    </w:p>
    <w:p>
      <w:pPr>
        <w:pStyle w:val="7"/>
        <w:ind w:left="1080"/>
        <w:jc w:val="center"/>
        <w:rPr>
          <w:rFonts w:ascii="Comic Sans MS" w:hAnsi="Comic Sans MS"/>
          <w:b/>
          <w:color w:val="17375E" w:themeColor="text2" w:themeShade="BF"/>
          <w:sz w:val="28"/>
          <w:szCs w:val="28"/>
        </w:rPr>
      </w:pPr>
    </w:p>
    <w:p>
      <w:pPr>
        <w:pStyle w:val="7"/>
        <w:ind w:left="1080"/>
        <w:jc w:val="both"/>
        <w:rPr>
          <w:rFonts w:ascii="Comic Sans MS" w:hAnsi="Comic Sans MS"/>
          <w:color w:val="17375E" w:themeColor="text2" w:themeShade="BF"/>
          <w:sz w:val="24"/>
          <w:szCs w:val="24"/>
        </w:rPr>
      </w:pPr>
    </w:p>
    <w:sectPr>
      <w:pgSz w:w="11906" w:h="16838"/>
      <w:pgMar w:top="1417" w:right="1701" w:bottom="1417" w:left="1701"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Berlin Sans FB Demi">
    <w:altName w:val="Segoe Print"/>
    <w:panose1 w:val="020E0802020502020306"/>
    <w:charset w:val="00"/>
    <w:family w:val="swiss"/>
    <w:pitch w:val="default"/>
    <w:sig w:usb0="00000000" w:usb1="00000000" w:usb2="00000000" w:usb3="00000000" w:csb0="00000001" w:csb1="00000000"/>
  </w:font>
  <w:font w:name="Comic Sans MS">
    <w:panose1 w:val="030F0702030302020204"/>
    <w:charset w:val="00"/>
    <w:family w:val="script"/>
    <w:pitch w:val="default"/>
    <w:sig w:usb0="00000287" w:usb1="00000013" w:usb2="00000000" w:usb3="00000000" w:csb0="2000009F"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955F72"/>
    <w:multiLevelType w:val="multilevel"/>
    <w:tmpl w:val="1E955F72"/>
    <w:lvl w:ilvl="0" w:tentative="0">
      <w:start w:val="1"/>
      <w:numFmt w:val="decimal"/>
      <w:lvlText w:val="(%1)"/>
      <w:lvlJc w:val="left"/>
      <w:pPr>
        <w:ind w:left="1080" w:hanging="72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703E49A7"/>
    <w:multiLevelType w:val="multilevel"/>
    <w:tmpl w:val="703E49A7"/>
    <w:lvl w:ilvl="0" w:tentative="0">
      <w:start w:val="1"/>
      <w:numFmt w:val="decimal"/>
      <w:lvlText w:val="(%1)"/>
      <w:lvlJc w:val="left"/>
      <w:pPr>
        <w:ind w:left="1080" w:hanging="72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documentProtection w:enforcement="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1D5C"/>
    <w:rsid w:val="000147A6"/>
    <w:rsid w:val="0007292F"/>
    <w:rsid w:val="00100CCA"/>
    <w:rsid w:val="0013085E"/>
    <w:rsid w:val="00177B14"/>
    <w:rsid w:val="002A333B"/>
    <w:rsid w:val="002C7EF5"/>
    <w:rsid w:val="003129B1"/>
    <w:rsid w:val="00414FA5"/>
    <w:rsid w:val="00447B3B"/>
    <w:rsid w:val="00480913"/>
    <w:rsid w:val="0050166D"/>
    <w:rsid w:val="00504E88"/>
    <w:rsid w:val="00525C35"/>
    <w:rsid w:val="00535583"/>
    <w:rsid w:val="005C3F5E"/>
    <w:rsid w:val="005C6659"/>
    <w:rsid w:val="005D207F"/>
    <w:rsid w:val="005E011E"/>
    <w:rsid w:val="005F03CD"/>
    <w:rsid w:val="0060738E"/>
    <w:rsid w:val="00621D18"/>
    <w:rsid w:val="00651986"/>
    <w:rsid w:val="006A0F04"/>
    <w:rsid w:val="006B6EF4"/>
    <w:rsid w:val="006D5772"/>
    <w:rsid w:val="007462C3"/>
    <w:rsid w:val="007678F4"/>
    <w:rsid w:val="007C6433"/>
    <w:rsid w:val="007D6324"/>
    <w:rsid w:val="00872E5A"/>
    <w:rsid w:val="00881E32"/>
    <w:rsid w:val="00915AC8"/>
    <w:rsid w:val="009E3459"/>
    <w:rsid w:val="00A35599"/>
    <w:rsid w:val="00AA06C5"/>
    <w:rsid w:val="00B45C11"/>
    <w:rsid w:val="00BC1A31"/>
    <w:rsid w:val="00C01F31"/>
    <w:rsid w:val="00C43F4B"/>
    <w:rsid w:val="00C91D5C"/>
    <w:rsid w:val="00D02E1E"/>
    <w:rsid w:val="00D4378A"/>
    <w:rsid w:val="00D54CCF"/>
    <w:rsid w:val="00E37E48"/>
    <w:rsid w:val="00EB52AC"/>
    <w:rsid w:val="00EC1E29"/>
    <w:rsid w:val="00F52856"/>
    <w:rsid w:val="00F5521F"/>
    <w:rsid w:val="00F57FAB"/>
    <w:rsid w:val="00F72F10"/>
    <w:rsid w:val="00FE1FCD"/>
    <w:rsid w:val="0A5269B4"/>
  </w:rsids>
  <m:mathPr>
    <m:mathFont m:val="Cambria Math"/>
    <m:brkBin m:val="before"/>
    <m:brkBinSub m:val="--"/>
    <m:smallFrac m:val="0"/>
    <m:dispDef/>
    <m:lMargin m:val="0"/>
    <m:rMargin m:val="0"/>
    <m:defJc m:val="centerGroup"/>
    <m:wrapIndent m:val="1440"/>
    <m:intLim m:val="subSup"/>
    <m:naryLim m:val="undOvr"/>
  </m:mathPr>
  <w:themeFontLang w:val="pt-PT"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pt-PT" w:eastAsia="en-US" w:bidi="ar-SA"/>
    </w:rPr>
  </w:style>
  <w:style w:type="character" w:default="1" w:styleId="3">
    <w:name w:val="Default Paragraph Font"/>
    <w:semiHidden/>
    <w:unhideWhenUsed/>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link w:val="6"/>
    <w:semiHidden/>
    <w:unhideWhenUsed/>
    <w:qFormat/>
    <w:uiPriority w:val="99"/>
    <w:pPr>
      <w:spacing w:after="0" w:line="240" w:lineRule="auto"/>
    </w:pPr>
    <w:rPr>
      <w:rFonts w:ascii="Tahoma" w:hAnsi="Tahoma" w:cs="Tahoma"/>
      <w:sz w:val="16"/>
      <w:szCs w:val="16"/>
    </w:rPr>
  </w:style>
  <w:style w:type="table" w:styleId="5">
    <w:name w:val="Table Grid"/>
    <w:basedOn w:val="4"/>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6">
    <w:name w:val="Texto de balão Caráter"/>
    <w:basedOn w:val="3"/>
    <w:link w:val="2"/>
    <w:semiHidden/>
    <w:qFormat/>
    <w:uiPriority w:val="99"/>
    <w:rPr>
      <w:rFonts w:ascii="Tahoma" w:hAnsi="Tahoma" w:cs="Tahoma"/>
      <w:sz w:val="16"/>
      <w:szCs w:val="16"/>
    </w:rPr>
  </w:style>
  <w:style w:type="paragraph" w:styleId="7">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2033</Words>
  <Characters>10980</Characters>
  <Lines>91</Lines>
  <Paragraphs>25</Paragraphs>
  <TotalTime>1</TotalTime>
  <ScaleCrop>false</ScaleCrop>
  <LinksUpToDate>false</LinksUpToDate>
  <CharactersWithSpaces>12988</CharactersWithSpaces>
  <Application>WPS Office_10.2.0.7636_F1E327BC-269C-435d-A152-05C5408002CA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2023-09-15T13:55:00Z</dcterms:created>
  <dc:creator>Dulce</dc:creator>
  <cp:lastModifiedBy>USER</cp:lastModifiedBy>
  <dcterms:modified xsi:type="dcterms:W3CDTF">2023-09-17T09:39:09Z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1033-10.2.0.7636</vt:lpwstr>
  </property>
</Properties>
</file>